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62C" w:rsidRDefault="000C762C" w:rsidP="00AB4B28">
      <w:r>
        <w:t xml:space="preserve">Websitelink: </w:t>
      </w:r>
      <w:hyperlink r:id="rId7" w:history="1">
        <w:r w:rsidRPr="00F718BB">
          <w:rPr>
            <w:rStyle w:val="Hyperlink"/>
          </w:rPr>
          <w:t>https://www.rvo.nl/onderwerpen/duurzaam-ondernemen/gebouwen/wetten-en-regels/nieuwbouw/epbd-iii</w:t>
        </w:r>
      </w:hyperlink>
      <w:r>
        <w:t xml:space="preserve"> </w:t>
      </w:r>
      <w:bookmarkStart w:id="0" w:name="_GoBack"/>
      <w:bookmarkEnd w:id="0"/>
    </w:p>
    <w:p w:rsidR="000C762C" w:rsidRDefault="000C762C" w:rsidP="00AB4B28"/>
    <w:p w:rsidR="009E1941" w:rsidRDefault="000C762C" w:rsidP="00AB4B28">
      <w:r>
        <w:t>Energy Performance Building Directive (EPBD III) is een richtlijn om de energie-efficientie van gebouwen te verbeteren waardoor het energieverbruik daalt.</w:t>
      </w:r>
    </w:p>
    <w:p w:rsidR="000C762C" w:rsidRDefault="000C762C" w:rsidP="00AB4B28"/>
    <w:p w:rsidR="000C762C" w:rsidRPr="000C762C" w:rsidRDefault="000C762C" w:rsidP="000C762C">
      <w:pPr>
        <w:shd w:val="clear" w:color="auto" w:fill="FFFFFF"/>
        <w:spacing w:after="300" w:line="240" w:lineRule="auto"/>
        <w:rPr>
          <w:rFonts w:cs="Arial"/>
          <w:color w:val="3E3E3E"/>
        </w:rPr>
      </w:pPr>
      <w:r w:rsidRPr="000C762C">
        <w:rPr>
          <w:rFonts w:cs="Arial"/>
          <w:color w:val="3E3E3E"/>
        </w:rPr>
        <w:t>De EPBD III is gericht op organisaties en personen die op het terrein van de gebouwde omgeving actief zijn. Daarbij gaat het bijvoorbeeld om woningcorporaties, gebouweigenaren, huurders, technische dienstverleners, bouwbedrijven, bouwmaterialenindustrie, bouw- en woningtoezichtinstanties, de installatiesector, netbeheerders, architecten, keuringsinstanties en gemeenten. De regeling bevat onder andere bepalingen over:</w:t>
      </w:r>
    </w:p>
    <w:p w:rsidR="000C762C" w:rsidRPr="000C762C" w:rsidRDefault="000C762C" w:rsidP="000C762C">
      <w:pPr>
        <w:numPr>
          <w:ilvl w:val="0"/>
          <w:numId w:val="16"/>
        </w:numPr>
        <w:shd w:val="clear" w:color="auto" w:fill="FFFFFF"/>
        <w:spacing w:before="100" w:beforeAutospacing="1" w:after="100" w:afterAutospacing="1" w:line="240" w:lineRule="auto"/>
        <w:ind w:left="0"/>
        <w:rPr>
          <w:rFonts w:cs="Arial"/>
          <w:color w:val="3E3E3E"/>
        </w:rPr>
      </w:pPr>
      <w:r w:rsidRPr="000C762C">
        <w:rPr>
          <w:rFonts w:cs="Arial"/>
          <w:color w:val="3E3E3E"/>
        </w:rPr>
        <w:t>systeemeisen voor technische bouwsystemen;</w:t>
      </w:r>
    </w:p>
    <w:p w:rsidR="000C762C" w:rsidRPr="000C762C" w:rsidRDefault="000C762C" w:rsidP="000C762C">
      <w:pPr>
        <w:numPr>
          <w:ilvl w:val="0"/>
          <w:numId w:val="16"/>
        </w:numPr>
        <w:shd w:val="clear" w:color="auto" w:fill="FFFFFF"/>
        <w:spacing w:before="100" w:beforeAutospacing="1" w:after="100" w:afterAutospacing="1" w:line="240" w:lineRule="auto"/>
        <w:ind w:left="0"/>
        <w:rPr>
          <w:rFonts w:cs="Arial"/>
          <w:color w:val="3E3E3E"/>
        </w:rPr>
      </w:pPr>
      <w:r w:rsidRPr="000C762C">
        <w:rPr>
          <w:rFonts w:cs="Arial"/>
          <w:color w:val="3E3E3E"/>
        </w:rPr>
        <w:t>het documenteren van de energieprestatie van technische bouwsystemen;</w:t>
      </w:r>
    </w:p>
    <w:p w:rsidR="000C762C" w:rsidRPr="000C762C" w:rsidRDefault="000C762C" w:rsidP="000C762C">
      <w:pPr>
        <w:numPr>
          <w:ilvl w:val="0"/>
          <w:numId w:val="16"/>
        </w:numPr>
        <w:shd w:val="clear" w:color="auto" w:fill="FFFFFF"/>
        <w:spacing w:before="100" w:beforeAutospacing="1" w:after="100" w:afterAutospacing="1" w:line="240" w:lineRule="auto"/>
        <w:ind w:left="0"/>
        <w:rPr>
          <w:rFonts w:cs="Arial"/>
          <w:color w:val="3E3E3E"/>
        </w:rPr>
      </w:pPr>
      <w:r w:rsidRPr="000C762C">
        <w:rPr>
          <w:rFonts w:cs="Arial"/>
          <w:color w:val="3E3E3E"/>
        </w:rPr>
        <w:t>zelfregulerende apparatuur voor het regelen van de temperatuur per kamer of zone;</w:t>
      </w:r>
    </w:p>
    <w:p w:rsidR="000C762C" w:rsidRPr="000C762C" w:rsidRDefault="000C762C" w:rsidP="000C762C">
      <w:pPr>
        <w:numPr>
          <w:ilvl w:val="0"/>
          <w:numId w:val="16"/>
        </w:numPr>
        <w:shd w:val="clear" w:color="auto" w:fill="FFFFFF"/>
        <w:spacing w:before="100" w:beforeAutospacing="1" w:after="100" w:afterAutospacing="1" w:line="240" w:lineRule="auto"/>
        <w:ind w:left="0"/>
        <w:rPr>
          <w:rFonts w:cs="Arial"/>
          <w:color w:val="3E3E3E"/>
        </w:rPr>
      </w:pPr>
      <w:r w:rsidRPr="000C762C">
        <w:rPr>
          <w:rFonts w:cs="Arial"/>
          <w:color w:val="3E3E3E"/>
        </w:rPr>
        <w:t>laadinfrastructuur voor elektrische auto’s;</w:t>
      </w:r>
    </w:p>
    <w:p w:rsidR="000C762C" w:rsidRPr="000C762C" w:rsidRDefault="000C762C" w:rsidP="000C762C">
      <w:pPr>
        <w:numPr>
          <w:ilvl w:val="0"/>
          <w:numId w:val="16"/>
        </w:numPr>
        <w:shd w:val="clear" w:color="auto" w:fill="FFFFFF"/>
        <w:spacing w:before="100" w:beforeAutospacing="1" w:after="100" w:afterAutospacing="1" w:line="240" w:lineRule="auto"/>
        <w:ind w:left="0"/>
        <w:rPr>
          <w:rFonts w:cs="Arial"/>
          <w:color w:val="3E3E3E"/>
        </w:rPr>
      </w:pPr>
      <w:r w:rsidRPr="000C762C">
        <w:rPr>
          <w:rFonts w:cs="Arial"/>
          <w:color w:val="3E3E3E"/>
        </w:rPr>
        <w:t>keuringen van verwarmings- en airconditioningssystemen;</w:t>
      </w:r>
    </w:p>
    <w:p w:rsidR="000C762C" w:rsidRPr="000C762C" w:rsidRDefault="000C762C" w:rsidP="00853C0E">
      <w:pPr>
        <w:numPr>
          <w:ilvl w:val="0"/>
          <w:numId w:val="16"/>
        </w:numPr>
        <w:shd w:val="clear" w:color="auto" w:fill="FFFFFF"/>
        <w:spacing w:before="100" w:beforeAutospacing="1" w:after="100" w:afterAutospacing="1" w:line="240" w:lineRule="auto"/>
        <w:ind w:left="0"/>
      </w:pPr>
      <w:r w:rsidRPr="000C762C">
        <w:rPr>
          <w:rFonts w:cs="Arial"/>
          <w:color w:val="3E3E3E"/>
        </w:rPr>
        <w:t>gebouwautomatisering- en -controlesystemen.</w:t>
      </w:r>
    </w:p>
    <w:p w:rsidR="000C762C" w:rsidRPr="000C762C" w:rsidRDefault="000C762C" w:rsidP="000C762C">
      <w:pPr>
        <w:numPr>
          <w:ilvl w:val="0"/>
          <w:numId w:val="15"/>
        </w:numPr>
        <w:shd w:val="clear" w:color="auto" w:fill="FFFFFF"/>
        <w:tabs>
          <w:tab w:val="clear" w:pos="0"/>
        </w:tabs>
        <w:spacing w:before="100" w:beforeAutospacing="1" w:after="15" w:line="240" w:lineRule="auto"/>
        <w:outlineLvl w:val="2"/>
        <w:rPr>
          <w:rFonts w:cs="Arial"/>
          <w:color w:val="114476"/>
        </w:rPr>
      </w:pPr>
      <w:r w:rsidRPr="000C762C">
        <w:rPr>
          <w:rFonts w:cs="Arial"/>
          <w:color w:val="114476"/>
        </w:rPr>
        <w:t>1. Systeemeisen technische bouwsystemen</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Om de energieprestatie van gebouwen efficiënter te maken, worden in de EPBD III systeemeisen voorgeschreven voor de verbetering van de energieprestatie van technische bouwsystemen. Onder technische bouwsystemen worden systemen verstaan voor ruimteverwarming, ruimtekoeling, ventilatie, warm tapwater, ingebouwde verlichting en gebouwautomatiserings- en controlesystemen. </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Lees meer over de </w:t>
      </w:r>
      <w:hyperlink r:id="rId8" w:history="1">
        <w:r w:rsidRPr="000C762C">
          <w:rPr>
            <w:rFonts w:cs="Arial"/>
            <w:color w:val="01689B"/>
            <w:u w:val="single"/>
          </w:rPr>
          <w:t>systeemeisen technische bouwsystemen - EPBD III.</w:t>
        </w:r>
      </w:hyperlink>
    </w:p>
    <w:p w:rsidR="000C762C" w:rsidRPr="000C762C" w:rsidRDefault="000C762C" w:rsidP="000C762C">
      <w:pPr>
        <w:numPr>
          <w:ilvl w:val="0"/>
          <w:numId w:val="15"/>
        </w:numPr>
        <w:shd w:val="clear" w:color="auto" w:fill="FFFFFF"/>
        <w:tabs>
          <w:tab w:val="clear" w:pos="0"/>
        </w:tabs>
        <w:spacing w:before="100" w:beforeAutospacing="1" w:after="15" w:line="240" w:lineRule="auto"/>
        <w:outlineLvl w:val="2"/>
        <w:rPr>
          <w:rFonts w:cs="Arial"/>
          <w:color w:val="114476"/>
        </w:rPr>
      </w:pPr>
      <w:r w:rsidRPr="000C762C">
        <w:rPr>
          <w:rFonts w:cs="Arial"/>
          <w:color w:val="114476"/>
        </w:rPr>
        <w:t>2. Technische keuringen verwarmings- en aircosystemen</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Met de EPBD III worden de keuringsverplichtingen voor verwarmings- en airconditioningssystemen herzien. Deze verplichtingen gelden vanaf een nominaal vermogen van 70 kW of meer. Is één van beide systemen gekoppeld aan een ventilatiesysteem, dan moet dit ventilatiesysteem ook gekeurd worden. Daarnaast is de verwarmingskeuring voortaan van toepassing op alle verwarmingssystemen, niet alleen stookinstallaties.</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Lees meer over de </w:t>
      </w:r>
      <w:hyperlink r:id="rId9" w:history="1">
        <w:r w:rsidRPr="000C762C">
          <w:rPr>
            <w:rFonts w:cs="Arial"/>
            <w:color w:val="01689B"/>
            <w:u w:val="single"/>
          </w:rPr>
          <w:t>technische keuringen verwarmings- en aircosystemen - EPBD III.</w:t>
        </w:r>
      </w:hyperlink>
    </w:p>
    <w:p w:rsidR="000C762C" w:rsidRPr="000C762C" w:rsidRDefault="000C762C" w:rsidP="000C762C">
      <w:pPr>
        <w:numPr>
          <w:ilvl w:val="0"/>
          <w:numId w:val="15"/>
        </w:numPr>
        <w:shd w:val="clear" w:color="auto" w:fill="FFFFFF"/>
        <w:tabs>
          <w:tab w:val="clear" w:pos="0"/>
        </w:tabs>
        <w:spacing w:before="100" w:beforeAutospacing="1" w:after="15" w:line="240" w:lineRule="auto"/>
        <w:outlineLvl w:val="2"/>
        <w:rPr>
          <w:rFonts w:cs="Arial"/>
          <w:color w:val="114476"/>
        </w:rPr>
      </w:pPr>
      <w:r w:rsidRPr="000C762C">
        <w:rPr>
          <w:rFonts w:cs="Arial"/>
          <w:color w:val="114476"/>
        </w:rPr>
        <w:t>3. Laadinfrastructuur voor elektrisch vervoer</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De EPBD III wil een breder gebruik van elektrisch vervoer stimuleren. Daarom introduceert de richtlijn een verplichting om laadinfrastructuur aan te leggen voor elektrische voertuigen in de (private) gebouwde omgeving bij nieuwbouw of als er ingrijpend wordt gerenoveerd. Deze verplichting wordt vastgelegd in het Bouwbesluit en er moet al bij de ontwikkeling van bouwplannen rekening mee worden gehouden. Daarnaast komt er een verplichting tot het aanleggen van laadinfrastructuur bij bestaande grotere gebouwen, ook als deze niet worden verbouwd.</w:t>
      </w:r>
    </w:p>
    <w:p w:rsidR="000C762C" w:rsidRPr="000C762C" w:rsidRDefault="000C762C" w:rsidP="000C762C">
      <w:pPr>
        <w:shd w:val="clear" w:color="auto" w:fill="FFFFFF"/>
        <w:spacing w:after="210" w:line="240" w:lineRule="auto"/>
        <w:rPr>
          <w:rFonts w:cs="Arial"/>
          <w:color w:val="3E3E3E"/>
        </w:rPr>
      </w:pPr>
      <w:r w:rsidRPr="000C762C">
        <w:rPr>
          <w:rFonts w:cs="Arial"/>
          <w:color w:val="3E3E3E"/>
        </w:rPr>
        <w:t>Lees meer over de </w:t>
      </w:r>
      <w:hyperlink r:id="rId10" w:history="1">
        <w:r w:rsidRPr="000C762C">
          <w:rPr>
            <w:rFonts w:cs="Arial"/>
            <w:color w:val="01689B"/>
            <w:u w:val="single"/>
          </w:rPr>
          <w:t>laadinfrastructuur voor elektrisch vervoer - EPBD III.</w:t>
        </w:r>
      </w:hyperlink>
    </w:p>
    <w:p w:rsidR="000C762C" w:rsidRPr="000C762C" w:rsidRDefault="000C762C" w:rsidP="00AB4B28"/>
    <w:sectPr w:rsidR="000C762C" w:rsidRPr="000C762C"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6D4" w:rsidRDefault="004276D4">
      <w:r>
        <w:separator/>
      </w:r>
    </w:p>
  </w:endnote>
  <w:endnote w:type="continuationSeparator" w:id="0">
    <w:p w:rsidR="004276D4" w:rsidRDefault="0042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6D4" w:rsidRDefault="004276D4">
      <w:r>
        <w:separator/>
      </w:r>
    </w:p>
  </w:footnote>
  <w:footnote w:type="continuationSeparator" w:id="0">
    <w:p w:rsidR="004276D4" w:rsidRDefault="00427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82400"/>
    <w:multiLevelType w:val="singleLevel"/>
    <w:tmpl w:val="F3106A48"/>
    <w:lvl w:ilvl="0">
      <w:start w:val="1"/>
      <w:numFmt w:val="bullet"/>
      <w:pStyle w:val="opsom1"/>
      <w:lvlText w:val=""/>
      <w:lvlJc w:val="left"/>
      <w:pPr>
        <w:tabs>
          <w:tab w:val="num" w:pos="567"/>
        </w:tabs>
        <w:ind w:left="567" w:hanging="567"/>
      </w:pPr>
      <w:rPr>
        <w:rFonts w:ascii="Symbol" w:hAnsi="Symbol" w:hint="default"/>
      </w:rPr>
    </w:lvl>
  </w:abstractNum>
  <w:abstractNum w:abstractNumId="1" w15:restartNumberingAfterBreak="0">
    <w:nsid w:val="34086312"/>
    <w:multiLevelType w:val="multilevel"/>
    <w:tmpl w:val="E6CE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3" w15:restartNumberingAfterBreak="0">
    <w:nsid w:val="4A9F06CF"/>
    <w:multiLevelType w:val="multilevel"/>
    <w:tmpl w:val="77CE74AA"/>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4" w15:restartNumberingAfterBreak="0">
    <w:nsid w:val="5EFA753D"/>
    <w:multiLevelType w:val="singleLevel"/>
    <w:tmpl w:val="E4B0C658"/>
    <w:lvl w:ilvl="0">
      <w:start w:val="1"/>
      <w:numFmt w:val="bullet"/>
      <w:pStyle w:val="opsom2"/>
      <w:lvlText w:val=""/>
      <w:lvlJc w:val="left"/>
      <w:pPr>
        <w:tabs>
          <w:tab w:val="num" w:pos="567"/>
        </w:tabs>
        <w:ind w:left="567" w:hanging="567"/>
      </w:pPr>
      <w:rPr>
        <w:rFonts w:ascii="Symbol" w:hAnsi="Symbol"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0"/>
  </w:num>
  <w:num w:numId="10">
    <w:abstractNumId w:val="4"/>
  </w:num>
  <w:num w:numId="11">
    <w:abstractNumId w:val="3"/>
  </w:num>
  <w:num w:numId="12">
    <w:abstractNumId w:val="3"/>
  </w:num>
  <w:num w:numId="13">
    <w:abstractNumId w:val="3"/>
  </w:num>
  <w:num w:numId="14">
    <w:abstractNumId w:val="3"/>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D4"/>
    <w:rsid w:val="000A73F6"/>
    <w:rsid w:val="000C762C"/>
    <w:rsid w:val="00166D2A"/>
    <w:rsid w:val="0039219F"/>
    <w:rsid w:val="003B21D5"/>
    <w:rsid w:val="003E7458"/>
    <w:rsid w:val="004276D4"/>
    <w:rsid w:val="0042770A"/>
    <w:rsid w:val="00432377"/>
    <w:rsid w:val="004F2113"/>
    <w:rsid w:val="005B4DAE"/>
    <w:rsid w:val="005F4937"/>
    <w:rsid w:val="00912EE2"/>
    <w:rsid w:val="00932012"/>
    <w:rsid w:val="009A4456"/>
    <w:rsid w:val="009C62EA"/>
    <w:rsid w:val="009E1941"/>
    <w:rsid w:val="00A40E9E"/>
    <w:rsid w:val="00A5138B"/>
    <w:rsid w:val="00AA51A1"/>
    <w:rsid w:val="00AB4B28"/>
    <w:rsid w:val="00AF45C4"/>
    <w:rsid w:val="00B9327D"/>
    <w:rsid w:val="00C036F4"/>
    <w:rsid w:val="00CE4E13"/>
    <w:rsid w:val="00DB449B"/>
    <w:rsid w:val="00E17EF8"/>
    <w:rsid w:val="00F300F0"/>
    <w:rsid w:val="00F6503B"/>
    <w:rsid w:val="00F72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5079FD"/>
  <w15:chartTrackingRefBased/>
  <w15:docId w15:val="{B43CEAFF-E3ED-4CC0-92FE-622C324C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pPr>
      <w:keepNext/>
      <w:numPr>
        <w:numId w:val="15"/>
      </w:numPr>
      <w:tabs>
        <w:tab w:val="left" w:pos="851"/>
      </w:tabs>
      <w:outlineLvl w:val="0"/>
    </w:pPr>
    <w:rPr>
      <w:b/>
      <w:szCs w:val="24"/>
      <w:lang w:eastAsia="en-US"/>
    </w:rPr>
  </w:style>
  <w:style w:type="paragraph" w:styleId="Kop2">
    <w:name w:val="heading 2"/>
    <w:basedOn w:val="Standaard"/>
    <w:next w:val="Standaard"/>
    <w:qFormat/>
    <w:pPr>
      <w:keepNext/>
      <w:numPr>
        <w:ilvl w:val="1"/>
        <w:numId w:val="15"/>
      </w:numPr>
      <w:tabs>
        <w:tab w:val="left" w:pos="851"/>
      </w:tabs>
      <w:outlineLvl w:val="1"/>
    </w:pPr>
    <w:rPr>
      <w:rFonts w:cs="Arial"/>
      <w:b/>
      <w:bCs/>
      <w:iCs/>
      <w:noProof/>
      <w:szCs w:val="24"/>
    </w:rPr>
  </w:style>
  <w:style w:type="paragraph" w:styleId="Kop3">
    <w:name w:val="heading 3"/>
    <w:basedOn w:val="Standaard"/>
    <w:next w:val="Standaard"/>
    <w:qFormat/>
    <w:pPr>
      <w:keepNext/>
      <w:numPr>
        <w:ilvl w:val="2"/>
        <w:numId w:val="15"/>
      </w:numPr>
      <w:tabs>
        <w:tab w:val="left" w:pos="851"/>
      </w:tabs>
      <w:outlineLvl w:val="2"/>
    </w:pPr>
    <w:rPr>
      <w:rFonts w:cs="Arial"/>
      <w:b/>
      <w:bCs/>
    </w:rPr>
  </w:style>
  <w:style w:type="paragraph" w:styleId="Kop4">
    <w:name w:val="heading 4"/>
    <w:basedOn w:val="Standaard"/>
    <w:next w:val="Standaard"/>
    <w:qFormat/>
    <w:pPr>
      <w:keepNext/>
      <w:numPr>
        <w:ilvl w:val="3"/>
        <w:numId w:val="15"/>
      </w:numPr>
      <w:tabs>
        <w:tab w:val="left" w:pos="851"/>
      </w:tabs>
      <w:outlineLvl w:val="3"/>
    </w:pPr>
    <w:rPr>
      <w:b/>
      <w:bCs/>
      <w:szCs w:val="28"/>
    </w:rPr>
  </w:style>
  <w:style w:type="paragraph" w:styleId="Kop5">
    <w:name w:val="heading 5"/>
    <w:basedOn w:val="Standaard"/>
    <w:next w:val="Standaard"/>
    <w:qFormat/>
    <w:pPr>
      <w:numPr>
        <w:ilvl w:val="4"/>
        <w:numId w:val="15"/>
      </w:numPr>
      <w:spacing w:before="120"/>
      <w:outlineLvl w:val="4"/>
    </w:pPr>
    <w:rPr>
      <w:spacing w:val="6"/>
    </w:rPr>
  </w:style>
  <w:style w:type="paragraph" w:styleId="Kop6">
    <w:name w:val="heading 6"/>
    <w:basedOn w:val="Standaard"/>
    <w:next w:val="Standaard"/>
    <w:qFormat/>
    <w:pPr>
      <w:numPr>
        <w:ilvl w:val="5"/>
        <w:numId w:val="15"/>
      </w:numPr>
      <w:spacing w:before="240" w:after="60"/>
      <w:outlineLvl w:val="5"/>
    </w:pPr>
    <w:rPr>
      <w:i/>
    </w:rPr>
  </w:style>
  <w:style w:type="paragraph" w:styleId="Kop7">
    <w:name w:val="heading 7"/>
    <w:basedOn w:val="Standaard"/>
    <w:next w:val="Standaard"/>
    <w:qFormat/>
    <w:pPr>
      <w:numPr>
        <w:ilvl w:val="6"/>
        <w:numId w:val="15"/>
      </w:numPr>
      <w:spacing w:before="240" w:after="60"/>
      <w:outlineLvl w:val="6"/>
    </w:pPr>
  </w:style>
  <w:style w:type="paragraph" w:styleId="Kop8">
    <w:name w:val="heading 8"/>
    <w:basedOn w:val="Standaard"/>
    <w:next w:val="Standaard"/>
    <w:qFormat/>
    <w:pPr>
      <w:numPr>
        <w:ilvl w:val="7"/>
        <w:numId w:val="15"/>
      </w:numPr>
      <w:spacing w:before="240" w:after="60"/>
      <w:outlineLvl w:val="7"/>
    </w:pPr>
    <w:rPr>
      <w:i/>
    </w:rPr>
  </w:style>
  <w:style w:type="paragraph" w:styleId="Kop9">
    <w:name w:val="heading 9"/>
    <w:basedOn w:val="Standaard"/>
    <w:next w:val="Standaard"/>
    <w:qFormat/>
    <w:pPr>
      <w:numPr>
        <w:ilvl w:val="8"/>
        <w:numId w:val="15"/>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pPr>
      <w:tabs>
        <w:tab w:val="left" w:pos="851"/>
        <w:tab w:val="right" w:pos="9072"/>
      </w:tabs>
      <w:spacing w:before="280"/>
    </w:pPr>
    <w:rPr>
      <w:b/>
      <w:bCs/>
      <w:noProof/>
      <w:szCs w:val="24"/>
    </w:rPr>
  </w:style>
  <w:style w:type="paragraph" w:styleId="Inhopg2">
    <w:name w:val="toc 2"/>
    <w:basedOn w:val="Standaard"/>
    <w:next w:val="Standaard"/>
    <w:autoRedefine/>
    <w:semiHidden/>
    <w:pPr>
      <w:tabs>
        <w:tab w:val="left" w:pos="851"/>
        <w:tab w:val="right" w:leader="dot" w:pos="9072"/>
      </w:tabs>
    </w:pPr>
    <w:rPr>
      <w:noProof/>
      <w:lang w:eastAsia="en-US"/>
    </w:rPr>
  </w:style>
  <w:style w:type="paragraph" w:styleId="Inhopg3">
    <w:name w:val="toc 3"/>
    <w:basedOn w:val="Standaard"/>
    <w:next w:val="Standaard"/>
    <w:autoRedefine/>
    <w:semiHidden/>
    <w:pPr>
      <w:tabs>
        <w:tab w:val="left" w:pos="851"/>
        <w:tab w:val="right" w:leader="dot" w:pos="9072"/>
      </w:tabs>
    </w:pPr>
    <w:rPr>
      <w:iCs/>
      <w:noProof/>
      <w:szCs w:val="19"/>
    </w:rPr>
  </w:style>
  <w:style w:type="paragraph" w:styleId="Inhopg4">
    <w:name w:val="toc 4"/>
    <w:basedOn w:val="Standaard"/>
    <w:next w:val="Standaard"/>
    <w:autoRedefine/>
    <w:semiHidden/>
    <w:pPr>
      <w:tabs>
        <w:tab w:val="left" w:pos="1330"/>
        <w:tab w:val="left" w:pos="2520"/>
        <w:tab w:val="right" w:leader="dot" w:pos="8505"/>
      </w:tabs>
      <w:ind w:left="1800"/>
    </w:pPr>
    <w:rPr>
      <w:noProof/>
      <w:szCs w:val="18"/>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next w:val="Standaard"/>
    <w:pPr>
      <w:numPr>
        <w:numId w:val="9"/>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style>
  <w:style w:type="paragraph" w:customStyle="1" w:styleId="opsom2">
    <w:name w:val="opsom2"/>
    <w:basedOn w:val="Standaard"/>
    <w:next w:val="Standaard"/>
    <w:pPr>
      <w:numPr>
        <w:numId w:val="10"/>
      </w:numPr>
      <w:tabs>
        <w:tab w:val="clear" w:pos="567"/>
        <w:tab w:val="num" w:pos="1133"/>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3"/>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pPr>
      <w:spacing w:before="120"/>
    </w:pPr>
    <w:rPr>
      <w:i/>
      <w:spacing w:val="6"/>
      <w:sz w:val="18"/>
    </w:rPr>
  </w:style>
  <w:style w:type="character" w:customStyle="1" w:styleId="refkopjes">
    <w:name w:val="refkopjes"/>
    <w:basedOn w:val="Standaardalinea-lettertype"/>
    <w:rPr>
      <w:rFonts w:ascii="Verdana" w:hAnsi="Verdana"/>
      <w:sz w:val="16"/>
    </w:rPr>
  </w:style>
  <w:style w:type="paragraph" w:customStyle="1" w:styleId="Hoofdkop">
    <w:name w:val="Hoofdkop"/>
    <w:basedOn w:val="Standaard"/>
    <w:next w:val="Standaard"/>
    <w:rPr>
      <w:b/>
      <w:caps/>
    </w:rPr>
  </w:style>
  <w:style w:type="paragraph" w:customStyle="1" w:styleId="Alineakop">
    <w:name w:val="Alineakop"/>
    <w:basedOn w:val="Standaard"/>
    <w:next w:val="Standaard"/>
    <w:rPr>
      <w:b/>
    </w:rPr>
  </w:style>
  <w:style w:type="paragraph" w:customStyle="1" w:styleId="Subalineakop">
    <w:name w:val="Subalineakop"/>
    <w:basedOn w:val="Standaard"/>
    <w:next w:val="Standaard"/>
    <w:rPr>
      <w:i/>
    </w:rPr>
  </w:style>
  <w:style w:type="paragraph" w:customStyle="1" w:styleId="formuliernaam">
    <w:name w:val="formuliernaam"/>
    <w:basedOn w:val="Standaard"/>
    <w:next w:val="Standaard"/>
    <w:rPr>
      <w:sz w:val="40"/>
      <w:szCs w:val="40"/>
    </w:rPr>
  </w:style>
  <w:style w:type="paragraph" w:customStyle="1" w:styleId="refkop">
    <w:name w:val="refkop"/>
    <w:basedOn w:val="Standaard"/>
    <w:rsid w:val="003E7458"/>
  </w:style>
  <w:style w:type="paragraph" w:styleId="Titel">
    <w:name w:val="Title"/>
    <w:basedOn w:val="Standaard"/>
    <w:qFormat/>
    <w:pPr>
      <w:spacing w:before="240" w:after="60"/>
      <w:outlineLvl w:val="0"/>
    </w:pPr>
    <w:rPr>
      <w:rFonts w:cs="Arial"/>
      <w:bCs/>
      <w:kern w:val="28"/>
      <w:sz w:val="40"/>
      <w:szCs w:val="32"/>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pPr>
      <w:spacing w:line="280" w:lineRule="atLeast"/>
    </w:pPr>
    <w:rPr>
      <w:rFonts w:ascii="Arial" w:hAnsi="Arial"/>
      <w:b/>
    </w:rPr>
  </w:style>
  <w:style w:type="character" w:styleId="Hyperlink">
    <w:name w:val="Hyperlink"/>
    <w:basedOn w:val="Standaardalinea-lettertype"/>
    <w:unhideWhenUsed/>
    <w:rsid w:val="000C76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3597">
      <w:bodyDiv w:val="1"/>
      <w:marLeft w:val="0"/>
      <w:marRight w:val="0"/>
      <w:marTop w:val="0"/>
      <w:marBottom w:val="0"/>
      <w:divBdr>
        <w:top w:val="none" w:sz="0" w:space="0" w:color="auto"/>
        <w:left w:val="none" w:sz="0" w:space="0" w:color="auto"/>
        <w:bottom w:val="none" w:sz="0" w:space="0" w:color="auto"/>
        <w:right w:val="none" w:sz="0" w:space="0" w:color="auto"/>
      </w:divBdr>
      <w:divsChild>
        <w:div w:id="158617629">
          <w:marLeft w:val="0"/>
          <w:marRight w:val="0"/>
          <w:marTop w:val="0"/>
          <w:marBottom w:val="150"/>
          <w:divBdr>
            <w:top w:val="none" w:sz="0" w:space="0" w:color="auto"/>
            <w:left w:val="none" w:sz="0" w:space="0" w:color="auto"/>
            <w:bottom w:val="none" w:sz="0" w:space="0" w:color="auto"/>
            <w:right w:val="none" w:sz="0" w:space="0" w:color="auto"/>
          </w:divBdr>
          <w:divsChild>
            <w:div w:id="137870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1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vo.nl/onderwerpen/duurzaam-ondernemen/gebouwen/wetten-en-regels/nieuwbouw/epbd-iii/systeemeisen-technische-bouwsystemen" TargetMode="External"/><Relationship Id="rId3" Type="http://schemas.openxmlformats.org/officeDocument/2006/relationships/settings" Target="settings.xml"/><Relationship Id="rId7" Type="http://schemas.openxmlformats.org/officeDocument/2006/relationships/hyperlink" Target="https://www.rvo.nl/onderwerpen/duurzaam-ondernemen/gebouwen/wetten-en-regels/nieuwbouw/epbd-ii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rvo.nl/onderwerpen/duurzaam-ondernemen/gebouwen/wetten-en-regels/nieuwbouw/epbd-iii/laadinfrastructuur-elektrisch-vervoer" TargetMode="External"/><Relationship Id="rId4" Type="http://schemas.openxmlformats.org/officeDocument/2006/relationships/webSettings" Target="webSettings.xml"/><Relationship Id="rId9" Type="http://schemas.openxmlformats.org/officeDocument/2006/relationships/hyperlink" Target="https://www.rvo.nl/onderwerpen/duurzaam-ondernemen/gebouwen/wetten-en-regels/nieuwbouw/epbd-iii/technische-keuringen-verwarmings-en-aircosystem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506</Words>
  <Characters>2788</Characters>
  <Application>Microsoft Office Word</Application>
  <DocSecurity>0</DocSecurity>
  <Lines>23</Lines>
  <Paragraphs>6</Paragraphs>
  <ScaleCrop>false</ScaleCrop>
  <Company>Provincie Limburg</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Hein Allertz</dc:creator>
  <cp:keywords/>
  <dc:description/>
  <cp:lastModifiedBy>Hein Allertz</cp:lastModifiedBy>
  <cp:revision>2</cp:revision>
  <cp:lastPrinted>1999-02-10T12:28:00Z</cp:lastPrinted>
  <dcterms:created xsi:type="dcterms:W3CDTF">2020-12-15T08:23:00Z</dcterms:created>
  <dcterms:modified xsi:type="dcterms:W3CDTF">2020-12-15T08:32:00Z</dcterms:modified>
</cp:coreProperties>
</file>